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5" w:rsidRDefault="006A36BF">
      <w:pPr>
        <w:spacing w:before="0" w:after="0"/>
        <w:ind w:left="510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732025" w:rsidRDefault="006A36BF">
      <w:pPr>
        <w:spacing w:before="0"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 ПАО «Газпром»</w:t>
      </w:r>
    </w:p>
    <w:p w:rsidR="00732025" w:rsidRDefault="006A36BF">
      <w:pPr>
        <w:spacing w:before="0"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«09» августа 2024 г. № 300</w:t>
      </w:r>
    </w:p>
    <w:p w:rsidR="00732025" w:rsidRDefault="00732025">
      <w:pPr>
        <w:spacing w:before="0" w:after="0"/>
        <w:ind w:left="5103" w:firstLine="851"/>
        <w:rPr>
          <w:rFonts w:ascii="Times New Roman" w:hAnsi="Times New Roman"/>
          <w:color w:val="FF0000"/>
          <w:sz w:val="28"/>
          <w:szCs w:val="28"/>
        </w:rPr>
      </w:pPr>
    </w:p>
    <w:p w:rsidR="00732025" w:rsidRDefault="00732025">
      <w:pPr>
        <w:widowControl w:val="0"/>
        <w:spacing w:before="0"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КОДЕКС </w:t>
      </w: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поведения поставщика (подрядчика, исполнителя) </w:t>
      </w: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ПАО «Газпром» и Компаний Группы Газпром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732025" w:rsidRDefault="00732025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ПОЛОЖЕНИЯ</w:t>
      </w:r>
    </w:p>
    <w:p w:rsidR="00732025" w:rsidRDefault="006A36BF">
      <w:pPr>
        <w:pStyle w:val="afe"/>
        <w:widowControl w:val="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Принимая во внимание значимость роли поставщиков (подрядчиков, исполнителей), привлекаемых ПАО «Газпром» и Компаниями Группы Газпром в рамках реализации своих целей, задач и направлений деятельности, а также в целях повышения уровня доверия к таким поставщикам (подрядчикам, исполнителям) настоящим Кодексом устанавливаются </w:t>
      </w:r>
      <w:r>
        <w:rPr>
          <w:rFonts w:ascii="Times New Roman" w:hAnsi="Times New Roman"/>
          <w:color w:val="auto"/>
          <w:sz w:val="28"/>
          <w:szCs w:val="28"/>
        </w:rPr>
        <w:t xml:space="preserve">общие принципы </w:t>
      </w:r>
      <w:r>
        <w:rPr>
          <w:rFonts w:ascii="Times New Roman" w:hAnsi="Times New Roman"/>
          <w:sz w:val="28"/>
          <w:szCs w:val="28"/>
        </w:rPr>
        <w:t>их поведения при поставке товаров (выполнении работ, оказании услуг) для нужд Группы Газпром в рамках исполнения условий заключенных с ними договоров.</w:t>
      </w:r>
    </w:p>
    <w:p w:rsidR="00732025" w:rsidRDefault="006A36BF">
      <w:pPr>
        <w:pStyle w:val="afe"/>
        <w:widowControl w:val="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Кодекс представляет собой общедоступный документ, размещенный в сети Интернет на официальном сайте ПАО «Газпром».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также может быть размещен на официальных сайтах Компаний Группы Газпром.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Положения настоящего Кодекса носят для поставщиков (подрядчиков, исполнителей) – юридических и физических лиц (в том числе индивидуальных предпринимателей) (далее вместе – Исполнители) – рекомендательный характер.</w:t>
      </w:r>
    </w:p>
    <w:p w:rsidR="00732025" w:rsidRDefault="006A36BF">
      <w:pPr>
        <w:widowControl w:val="0"/>
        <w:spacing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Нормы настоящего Кодекса основаны на общих принципах гражданского права, включая принципы признания равенства участников коммерческого оборота,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защиты, а также на принципах разумности и добросовестности Исполнителей независимо от применения или неприменения ими положений настоящего Кодекса, и направлены на развитие взаимодействия между ПАО «Газпром», Компаниями Группы Газпром и Исполнителями на основе справедливого, делового, взаимовыгодного сотрудничества, равноправного партнерства, а также на формирование клиентоориентированного поведения Исполнителей. </w:t>
      </w:r>
    </w:p>
    <w:p w:rsidR="00732025" w:rsidRDefault="00732025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732025" w:rsidRDefault="006A36BF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ТЕРМИНЫ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ОПРЕДЕЛЕНИЯ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 Группа Газпром</w:t>
      </w:r>
      <w:r>
        <w:rPr>
          <w:rFonts w:ascii="Times New Roman" w:hAnsi="Times New Roman"/>
          <w:sz w:val="28"/>
          <w:szCs w:val="28"/>
        </w:rPr>
        <w:t xml:space="preserve"> – ПАО «Газпром» и Компании Группы Газпром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>
        <w:rPr>
          <w:rFonts w:ascii="Times New Roman" w:hAnsi="Times New Roman"/>
          <w:b/>
          <w:sz w:val="28"/>
          <w:szCs w:val="28"/>
        </w:rPr>
        <w:t>Компании Группы Газпром</w:t>
      </w:r>
      <w:r>
        <w:rPr>
          <w:rFonts w:ascii="Times New Roman" w:hAnsi="Times New Roman"/>
          <w:sz w:val="28"/>
          <w:szCs w:val="28"/>
        </w:rPr>
        <w:t xml:space="preserve"> – в целях применения настоящего Кодекса к Компаниям Группы Газпром относятся следующие общества и организации: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дочерние общества ПАО «Газпром»;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дочерние общества дочерних обществ ПАО «Газпром»;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и организации, в уставном капитале которых ПАО «Газпром» совместно со своими дочерними обществами и/или дочерними обществами дочерних обществ ПАО «Газпром» напрямую или косвенно владеют более 50% долей (акций);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и организации, не являющиеся дочерними, финансовая отчетность которых входит в консолидированную финансовую отчетность ПАО «Газпром» по международным стандартам финансовой отчетности (МСФО).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>
        <w:rPr>
          <w:rFonts w:ascii="Times New Roman" w:hAnsi="Times New Roman"/>
          <w:b/>
          <w:sz w:val="28"/>
          <w:szCs w:val="28"/>
        </w:rPr>
        <w:t>Поведение Исполнителя</w:t>
      </w:r>
      <w:r>
        <w:rPr>
          <w:rFonts w:ascii="Times New Roman" w:hAnsi="Times New Roman"/>
          <w:sz w:val="28"/>
          <w:szCs w:val="28"/>
        </w:rPr>
        <w:t xml:space="preserve"> – поведение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 предпринимательской деятельности, основанное на системе принципов, рекомендованных настоящим Кодексом для руководства при исполнении договоров.</w:t>
      </w:r>
      <w:r>
        <w:t xml:space="preserve"> </w:t>
      </w:r>
    </w:p>
    <w:p w:rsidR="00732025" w:rsidRDefault="00732025">
      <w:pPr>
        <w:widowControl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ПРИНЦИПЫ ПОВЕДЕНИЯ ИСПОЛНИТЕЛЕЙ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при осуществлении деятельности придерживаются следующих принципов: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профессиональной деятельности требованиям применимого законодательства, техническим нормам и правилам, стандартам, договорным обязательствам;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к взаимодействию и сотрудничеству на основе равноправного партнерства и уважения взаимных интересов, гибкости в экономической деятельности;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вклада в социально-экономическое развитие Российской Федерации;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справедливость во взаимоотношениях с работниками;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ответственная социальная политика в регионах присутствия с учетом уважения к культурному наследию и традициям;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развитии инфраструктуры регионов присутствия;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технологического и кадрового потенциала.</w:t>
      </w:r>
    </w:p>
    <w:p w:rsidR="00732025" w:rsidRDefault="00732025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ОСНОВНЫЕ ПОЛОЖЕНИЯ ПОВЕДЕНИЯ ИСПОЛНИТЕЛЕЙ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 В сфере трудовых отношений, состояния условий и охраны труда Исполнители обеспечивают соблюдение норм действующего законодательства, в частности: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допускают принудительного труда и дискриминации в сфере труда, в том числе по расовому признаку, полу, цвету кожи, национальности, религии, возрасту, членству в профсоюзах и другим обстоятельствам, не связанным с деловыми качествами работников;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осуществляют выплату работникам справедливой заработной платы и реализовывают меры социальной поддержки,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мероприятия по улучшению условий труда и охраны труда, по предупреждению производственного травматизма и профессиональных заболеваний, по обучению работников по охране труда, в том числе обучение безопасным методам и приемам выполнения работ;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обеспечивают безопасные условия и охрану труда, создание и функционирование системы управления охраной труда;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соответствие рабочих мест требованиям охраны труда,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право работников на объединение для защиты своих интересов, включая создание и вступление в профессиональные союзы, ведение коллективных переговоров и заключение коллективных договоров.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области промышленной и пожарной безопасности, охраны окружающей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Исполнители обеспечивают соблюдение норм действующего законодательства, в частности: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безопасность производственных процессов и применения передовых практик в сфере промышленной и пожарной безопасности, охраны окружающей среды, в том числе, в части: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требований по безопасному ведению работ, требований промышленной безопасности при эксплуатации опасных производственных объектов, разработки мер, направленных на улучшение состояния промышленной безопасности (предупреждение аварий, инцидентов </w:t>
      </w:r>
      <w:r>
        <w:rPr>
          <w:rFonts w:ascii="Times New Roman" w:hAnsi="Times New Roman"/>
          <w:sz w:val="28"/>
          <w:szCs w:val="28"/>
        </w:rPr>
        <w:br/>
        <w:t>и несчастных случаев на опасных производственных объектах);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и аттестации работников в области промышленной безопасности, обучения работников действиям в случае аварии или инцидента на опасном производственном объекте;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требований пожарной безопасности, включая разработку </w:t>
      </w:r>
      <w:r>
        <w:rPr>
          <w:rFonts w:ascii="Times New Roman" w:hAnsi="Times New Roman"/>
          <w:sz w:val="28"/>
          <w:szCs w:val="28"/>
        </w:rPr>
        <w:br/>
        <w:t xml:space="preserve">и осуществление мер пожарной безопасности, обучение работников мерам пожарной безопасности, содержание в исправном состоянии системы и средства противопожарной защиты;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обязательств по минимизации негативного воздействия на окружающую среду, оказываемого в процессе осуществления хозяйственной деятельности;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правил производства, хранения, транспортировки, применения, захоронения радиоактивных веществ и ядерных материалов, химических веществ;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внедрения мероприятий по повышению энергетической эффективности.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 области обеспечения качества и безопасности товаров (работ, услуг) Исполнители выполняют требования действующего законодательства Российской Федерации, предъявляемые к безопасности и качеству поставляемых товаров (выполняемых работ, оказываемых услуг), в том числе обеспечивают раскрытие информации о составе и характеристиках поставляемой продукции (сертификаты и иные документы).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В сфере противодействия коррупции и исключения конфликта интересов Исполнители: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соблюдают требования законодательства Российской Федерации, общепризнанных принципов и норм международного права, международных </w:t>
      </w:r>
      <w:r>
        <w:rPr>
          <w:rFonts w:ascii="Times New Roman" w:hAnsi="Times New Roman"/>
          <w:sz w:val="28"/>
          <w:szCs w:val="28"/>
        </w:rPr>
        <w:lastRenderedPageBreak/>
        <w:t>договоров, ратифицированных Российской Федерации, антикоррупционных стандартов, принятых в ПАО «Газпром»;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исключают условия, способствующие совершению работниками сторон по договору коррупционных правонарушений</w:t>
      </w:r>
      <w:r>
        <w:rPr>
          <w:rStyle w:val="aff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, а также принимают меры по предотвращению и своевременному урегулированию возникающих конфликтов интересов;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уведомляют представителей Группы Газпром (в том числе по каналам «Горячей линии» по вопросам противодействия мошенничеству, коррупции и хищениям в Группе Газпром</w:t>
      </w:r>
      <w:r>
        <w:rPr>
          <w:rStyle w:val="aff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) об условиях, способствующих совершению работниками сторон по договору коррупционных правонарушений, возникновению конфликта интересов, фактах коррупционных правонарушений.</w:t>
      </w:r>
    </w:p>
    <w:p w:rsidR="00732025" w:rsidRDefault="00732025">
      <w:pPr>
        <w:tabs>
          <w:tab w:val="left" w:pos="4711"/>
        </w:tabs>
        <w:spacing w:before="0"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732025" w:rsidRDefault="00732025">
      <w:pPr>
        <w:tabs>
          <w:tab w:val="left" w:pos="4711"/>
        </w:tabs>
        <w:spacing w:before="0"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 СОБЛЮДЕНИЕ ОСНОВ ДЕЛОВОЙ КОРПОРАТИВНОЙ ЭТИКИ ПАО «ГАЗПРОМ» 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5.1. В ПАО «Газпром» действует Кодекс корпоративной этики ПАО «Газпром»</w:t>
      </w:r>
      <w:r>
        <w:rPr>
          <w:rStyle w:val="aff"/>
          <w:rFonts w:ascii="Times New Roman" w:hAnsi="Times New Roman"/>
          <w:sz w:val="28"/>
          <w:szCs w:val="28"/>
        </w:rPr>
        <w:footnoteReference w:id="4"/>
      </w:r>
      <w:r>
        <w:rPr>
          <w:rStyle w:val="11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закрепляющий корпоративные ценности ПАО «Газпром» и определяющий основанные на них и принятые в ПАО «Газпром» наиболее важные правила делового поведения. Положения Кодекса корпоративной этики ПАО «Газпром» послужили базовой основой для разработки кодексов корпоративной этики Компаниями Группы Газпром.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Исходя из общепринятой практики, Группа Газпром основывается на понимании, что аналогичные принципы делового поведения и корпоративной этики разработаны и внедрены у Исполнителей.</w:t>
      </w:r>
    </w:p>
    <w:sectPr w:rsidR="007320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BF" w:rsidRDefault="006A36BF">
      <w:pPr>
        <w:spacing w:before="0" w:after="0"/>
      </w:pPr>
      <w:r>
        <w:separator/>
      </w:r>
    </w:p>
  </w:endnote>
  <w:endnote w:type="continuationSeparator" w:id="0">
    <w:p w:rsidR="006A36BF" w:rsidRDefault="006A36BF">
      <w:pPr>
        <w:spacing w:before="0" w:after="0"/>
      </w:pPr>
      <w:r>
        <w:continuationSeparator/>
      </w:r>
    </w:p>
  </w:endnote>
  <w:endnote w:type="continuationNotice" w:id="1">
    <w:p w:rsidR="006A36BF" w:rsidRDefault="006A36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B8" w:rsidRDefault="00C658B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B8" w:rsidRDefault="00C658B8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3"/>
      <w:gridCol w:w="4924"/>
    </w:tblGrid>
    <w:tr w:rsidR="00C658B8">
      <w:tblPrEx>
        <w:tblCellMar>
          <w:top w:w="0" w:type="dxa"/>
          <w:bottom w:w="0" w:type="dxa"/>
        </w:tblCellMar>
      </w:tblPrEx>
      <w:tc>
        <w:tcPr>
          <w:tcW w:w="4923" w:type="dxa"/>
        </w:tcPr>
        <w:p w:rsidR="00C658B8" w:rsidRPr="00C658B8" w:rsidRDefault="00C658B8">
          <w:pPr>
            <w:pStyle w:val="afc"/>
            <w:rPr>
              <w:rFonts w:ascii="Arial Narrow" w:hAnsi="Arial Narrow"/>
              <w:sz w:val="16"/>
            </w:rPr>
          </w:pPr>
          <w:bookmarkStart w:id="0" w:name="_GoBack"/>
          <w:bookmarkEnd w:id="0"/>
          <w:r w:rsidRPr="00C658B8">
            <w:rPr>
              <w:rFonts w:ascii="Arial Narrow" w:hAnsi="Arial Narrow" w:hint="eastAsia"/>
              <w:sz w:val="16"/>
            </w:rPr>
            <w:t>Копия</w:t>
          </w:r>
          <w:r w:rsidRPr="00C658B8">
            <w:rPr>
              <w:rFonts w:ascii="Arial Narrow" w:hAnsi="Arial Narrow"/>
              <w:sz w:val="16"/>
            </w:rPr>
            <w:t xml:space="preserve"> </w:t>
          </w:r>
          <w:r w:rsidRPr="00C658B8">
            <w:rPr>
              <w:rFonts w:ascii="Arial Narrow" w:hAnsi="Arial Narrow" w:hint="eastAsia"/>
              <w:sz w:val="16"/>
            </w:rPr>
            <w:t>электронного</w:t>
          </w:r>
          <w:r w:rsidRPr="00C658B8">
            <w:rPr>
              <w:rFonts w:ascii="Arial Narrow" w:hAnsi="Arial Narrow"/>
              <w:sz w:val="16"/>
            </w:rPr>
            <w:t xml:space="preserve"> </w:t>
          </w:r>
          <w:r w:rsidRPr="00C658B8">
            <w:rPr>
              <w:rFonts w:ascii="Arial Narrow" w:hAnsi="Arial Narrow" w:hint="eastAsia"/>
              <w:sz w:val="16"/>
            </w:rPr>
            <w:t>документа</w:t>
          </w:r>
          <w:r w:rsidRPr="00C658B8">
            <w:rPr>
              <w:rFonts w:ascii="Arial Narrow" w:hAnsi="Arial Narrow"/>
              <w:sz w:val="16"/>
            </w:rPr>
            <w:t xml:space="preserve"> </w:t>
          </w:r>
          <w:r w:rsidRPr="00C658B8">
            <w:rPr>
              <w:rFonts w:ascii="Arial Narrow" w:hAnsi="Arial Narrow" w:hint="eastAsia"/>
              <w:sz w:val="16"/>
            </w:rPr>
            <w:t>от</w:t>
          </w:r>
          <w:r w:rsidRPr="00C658B8">
            <w:rPr>
              <w:rFonts w:ascii="Arial Narrow" w:hAnsi="Arial Narrow"/>
              <w:sz w:val="16"/>
            </w:rPr>
            <w:t xml:space="preserve"> 16.07.2025 </w:t>
          </w:r>
          <w:r w:rsidRPr="00C658B8">
            <w:rPr>
              <w:rFonts w:ascii="Arial Narrow" w:hAnsi="Arial Narrow" w:hint="eastAsia"/>
              <w:sz w:val="16"/>
            </w:rPr>
            <w:t>№</w:t>
          </w:r>
          <w:r w:rsidRPr="00C658B8">
            <w:rPr>
              <w:rFonts w:ascii="Arial Narrow" w:hAnsi="Arial Narrow"/>
              <w:sz w:val="16"/>
            </w:rPr>
            <w:t xml:space="preserve"> 4092</w:t>
          </w:r>
        </w:p>
      </w:tc>
      <w:tc>
        <w:tcPr>
          <w:tcW w:w="4924" w:type="dxa"/>
        </w:tcPr>
        <w:p w:rsidR="00C658B8" w:rsidRPr="00C658B8" w:rsidRDefault="00C658B8">
          <w:pPr>
            <w:pStyle w:val="afc"/>
            <w:rPr>
              <w:rFonts w:ascii="Arial Narrow" w:hAnsi="Arial Narrow"/>
              <w:sz w:val="16"/>
            </w:rPr>
          </w:pPr>
          <w:r w:rsidRPr="00C658B8">
            <w:rPr>
              <w:rFonts w:ascii="Arial Narrow" w:hAnsi="Arial Narrow" w:hint="eastAsia"/>
              <w:sz w:val="16"/>
            </w:rPr>
            <w:t>Электронная</w:t>
          </w:r>
          <w:r w:rsidRPr="00C658B8">
            <w:rPr>
              <w:rFonts w:ascii="Arial Narrow" w:hAnsi="Arial Narrow"/>
              <w:sz w:val="16"/>
            </w:rPr>
            <w:t xml:space="preserve"> </w:t>
          </w:r>
          <w:r w:rsidRPr="00C658B8">
            <w:rPr>
              <w:rFonts w:ascii="Arial Narrow" w:hAnsi="Arial Narrow" w:hint="eastAsia"/>
              <w:sz w:val="16"/>
            </w:rPr>
            <w:t>подпись</w:t>
          </w:r>
          <w:r w:rsidRPr="00C658B8">
            <w:rPr>
              <w:rFonts w:ascii="Arial Narrow" w:hAnsi="Arial Narrow"/>
              <w:sz w:val="16"/>
            </w:rPr>
            <w:t xml:space="preserve"> </w:t>
          </w:r>
          <w:r w:rsidRPr="00C658B8">
            <w:rPr>
              <w:rFonts w:ascii="Arial Narrow" w:hAnsi="Arial Narrow" w:hint="eastAsia"/>
              <w:sz w:val="16"/>
            </w:rPr>
            <w:t>верна</w:t>
          </w:r>
          <w:r w:rsidRPr="00C658B8">
            <w:rPr>
              <w:rFonts w:ascii="Arial Narrow" w:hAnsi="Arial Narrow"/>
              <w:sz w:val="16"/>
            </w:rPr>
            <w:t xml:space="preserve">. </w:t>
          </w:r>
          <w:r w:rsidRPr="00C658B8">
            <w:rPr>
              <w:rFonts w:ascii="Arial Narrow" w:hAnsi="Arial Narrow" w:hint="eastAsia"/>
              <w:sz w:val="16"/>
            </w:rPr>
            <w:t>Проверил</w:t>
          </w:r>
          <w:r w:rsidRPr="00C658B8">
            <w:rPr>
              <w:rFonts w:ascii="Arial Narrow" w:hAnsi="Arial Narrow"/>
              <w:sz w:val="16"/>
            </w:rPr>
            <w:t xml:space="preserve"> __________ / __________</w:t>
          </w:r>
        </w:p>
      </w:tc>
    </w:tr>
  </w:tbl>
  <w:p w:rsidR="00C658B8" w:rsidRDefault="00C658B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BF" w:rsidRDefault="006A36BF">
      <w:pPr>
        <w:spacing w:before="0" w:after="0"/>
      </w:pPr>
      <w:r>
        <w:separator/>
      </w:r>
    </w:p>
  </w:footnote>
  <w:footnote w:type="continuationSeparator" w:id="0">
    <w:p w:rsidR="006A36BF" w:rsidRDefault="006A36BF">
      <w:pPr>
        <w:spacing w:before="0" w:after="0"/>
      </w:pPr>
      <w:r>
        <w:continuationSeparator/>
      </w:r>
    </w:p>
  </w:footnote>
  <w:footnote w:type="continuationNotice" w:id="1">
    <w:p w:rsidR="006A36BF" w:rsidRDefault="006A36BF">
      <w:pPr>
        <w:spacing w:before="0" w:after="0"/>
      </w:pPr>
    </w:p>
  </w:footnote>
  <w:footnote w:id="2">
    <w:p w:rsidR="00732025" w:rsidRDefault="006A36BF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Под коррупционными правонарушениями понимаются деяния, указанные в Федеральном законе Российской Федерации от 25 октября 2008 г. № 273-ФЗ «О противодействии коррупции», уголовном, административном законодательстве и иных законодательных актах Российской Федерации (с учетом указаний и разъяснений органов законодательной, судебной и исполнительной власти Российской Федерации в области противодействия коррупции).</w:t>
      </w:r>
    </w:p>
  </w:footnote>
  <w:footnote w:id="3">
    <w:p w:rsidR="00732025" w:rsidRDefault="006A36BF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Положение о «Горячей линии» по вопросам противодействия мошенничества, коррупции и хищения в Группе Газпром, утвержденное приказ ОАО «Газпром» от 04 сентября 2014 г. № 423. Контактные данные размещены в открытом доступе в сети Интернет на официальном сайте ПАО «Газпром» по адресу: https://www.gazprom.ru/</w:t>
      </w:r>
      <w:r>
        <w:rPr>
          <w:rFonts w:ascii="Times New Roman" w:hAnsi="Times New Roman" w:cs="Times New Roman"/>
          <w:sz w:val="24"/>
          <w:szCs w:val="24"/>
          <w:lang w:val="en-US"/>
        </w:rPr>
        <w:t>contacts</w:t>
      </w:r>
      <w:r>
        <w:rPr>
          <w:rFonts w:ascii="Times New Roman" w:hAnsi="Times New Roman" w:cs="Times New Roman"/>
          <w:sz w:val="24"/>
          <w:szCs w:val="24"/>
        </w:rPr>
        <w:t>/.</w:t>
      </w:r>
    </w:p>
  </w:footnote>
  <w:footnote w:id="4">
    <w:p w:rsidR="00732025" w:rsidRDefault="006A36BF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Утвержден решением Совета директоров ОАО «Газпром» от 25 февраля 2014 г. № 2309 (с последующими изменениями) и размещен в открытом доступе в сети Интернет на официальном сайте ПАО «Газпром» по адресу: </w:t>
      </w:r>
      <w:hyperlink r:id="rId1" w:tooltip="https://www.gazprom.ru/investors/documents/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https://www.gazprom.ru/investors/documents/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32025" w:rsidRDefault="006A36BF">
      <w:pPr>
        <w:pStyle w:val="aff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B8" w:rsidRDefault="00C658B8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652598383"/>
      <w:docPartObj>
        <w:docPartGallery w:val="Page Numbers (Top of Page)"/>
        <w:docPartUnique/>
      </w:docPartObj>
    </w:sdtPr>
    <w:sdtEndPr/>
    <w:sdtContent>
      <w:p w:rsidR="00732025" w:rsidRDefault="006A36BF">
        <w:pPr>
          <w:pStyle w:val="afa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658B8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B8" w:rsidRDefault="00C658B8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339"/>
    <w:multiLevelType w:val="hybridMultilevel"/>
    <w:tmpl w:val="D07CDE8C"/>
    <w:lvl w:ilvl="0" w:tplc="488EC5B2">
      <w:start w:val="1"/>
      <w:numFmt w:val="decimal"/>
      <w:lvlText w:val="%1."/>
      <w:lvlJc w:val="left"/>
      <w:pPr>
        <w:ind w:left="360" w:hanging="360"/>
      </w:pPr>
    </w:lvl>
    <w:lvl w:ilvl="1" w:tplc="BA6E9A02">
      <w:start w:val="1"/>
      <w:numFmt w:val="lowerLetter"/>
      <w:lvlText w:val="%2."/>
      <w:lvlJc w:val="left"/>
      <w:pPr>
        <w:ind w:left="1080" w:hanging="360"/>
      </w:pPr>
    </w:lvl>
    <w:lvl w:ilvl="2" w:tplc="CF1AA758">
      <w:start w:val="1"/>
      <w:numFmt w:val="lowerRoman"/>
      <w:lvlText w:val="%3."/>
      <w:lvlJc w:val="right"/>
      <w:pPr>
        <w:ind w:left="1800" w:hanging="180"/>
      </w:pPr>
    </w:lvl>
    <w:lvl w:ilvl="3" w:tplc="8CEA7C6A">
      <w:start w:val="1"/>
      <w:numFmt w:val="decimal"/>
      <w:lvlText w:val="%4."/>
      <w:lvlJc w:val="left"/>
      <w:pPr>
        <w:ind w:left="2520" w:hanging="360"/>
      </w:pPr>
    </w:lvl>
    <w:lvl w:ilvl="4" w:tplc="5E3A6A52">
      <w:start w:val="1"/>
      <w:numFmt w:val="lowerLetter"/>
      <w:lvlText w:val="%5."/>
      <w:lvlJc w:val="left"/>
      <w:pPr>
        <w:ind w:left="3240" w:hanging="360"/>
      </w:pPr>
    </w:lvl>
    <w:lvl w:ilvl="5" w:tplc="35D234A0">
      <w:start w:val="1"/>
      <w:numFmt w:val="lowerRoman"/>
      <w:lvlText w:val="%6."/>
      <w:lvlJc w:val="right"/>
      <w:pPr>
        <w:ind w:left="3960" w:hanging="180"/>
      </w:pPr>
    </w:lvl>
    <w:lvl w:ilvl="6" w:tplc="39C8F6BE">
      <w:start w:val="1"/>
      <w:numFmt w:val="decimal"/>
      <w:lvlText w:val="%7."/>
      <w:lvlJc w:val="left"/>
      <w:pPr>
        <w:ind w:left="4680" w:hanging="360"/>
      </w:pPr>
    </w:lvl>
    <w:lvl w:ilvl="7" w:tplc="694641BA">
      <w:start w:val="1"/>
      <w:numFmt w:val="lowerLetter"/>
      <w:lvlText w:val="%8."/>
      <w:lvlJc w:val="left"/>
      <w:pPr>
        <w:ind w:left="5400" w:hanging="360"/>
      </w:pPr>
    </w:lvl>
    <w:lvl w:ilvl="8" w:tplc="ECC266B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57A56"/>
    <w:multiLevelType w:val="multilevel"/>
    <w:tmpl w:val="2ACA1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1E71776"/>
    <w:multiLevelType w:val="multilevel"/>
    <w:tmpl w:val="CDF23E8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 w:themeColor="text1"/>
      </w:rPr>
    </w:lvl>
  </w:abstractNum>
  <w:abstractNum w:abstractNumId="3">
    <w:nsid w:val="3A7F4F7E"/>
    <w:multiLevelType w:val="multilevel"/>
    <w:tmpl w:val="2B30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121AB8"/>
    <w:multiLevelType w:val="multilevel"/>
    <w:tmpl w:val="4830B4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63533350"/>
    <w:multiLevelType w:val="hybridMultilevel"/>
    <w:tmpl w:val="7166EBEE"/>
    <w:lvl w:ilvl="0" w:tplc="CAB88B48">
      <w:start w:val="1"/>
      <w:numFmt w:val="decimal"/>
      <w:lvlText w:val="%1."/>
      <w:lvlJc w:val="left"/>
      <w:pPr>
        <w:ind w:left="1571" w:hanging="360"/>
      </w:pPr>
    </w:lvl>
    <w:lvl w:ilvl="1" w:tplc="EA0C74A4">
      <w:start w:val="1"/>
      <w:numFmt w:val="lowerLetter"/>
      <w:lvlText w:val="%2."/>
      <w:lvlJc w:val="left"/>
      <w:pPr>
        <w:ind w:left="2291" w:hanging="360"/>
      </w:pPr>
    </w:lvl>
    <w:lvl w:ilvl="2" w:tplc="1A82396A">
      <w:start w:val="1"/>
      <w:numFmt w:val="lowerRoman"/>
      <w:lvlText w:val="%3."/>
      <w:lvlJc w:val="right"/>
      <w:pPr>
        <w:ind w:left="3011" w:hanging="180"/>
      </w:pPr>
    </w:lvl>
    <w:lvl w:ilvl="3" w:tplc="225EDB5C">
      <w:start w:val="1"/>
      <w:numFmt w:val="decimal"/>
      <w:lvlText w:val="%4."/>
      <w:lvlJc w:val="left"/>
      <w:pPr>
        <w:ind w:left="3731" w:hanging="360"/>
      </w:pPr>
    </w:lvl>
    <w:lvl w:ilvl="4" w:tplc="08E0E2D2">
      <w:start w:val="1"/>
      <w:numFmt w:val="lowerLetter"/>
      <w:lvlText w:val="%5."/>
      <w:lvlJc w:val="left"/>
      <w:pPr>
        <w:ind w:left="4451" w:hanging="360"/>
      </w:pPr>
    </w:lvl>
    <w:lvl w:ilvl="5" w:tplc="0D16674C">
      <w:start w:val="1"/>
      <w:numFmt w:val="lowerRoman"/>
      <w:lvlText w:val="%6."/>
      <w:lvlJc w:val="right"/>
      <w:pPr>
        <w:ind w:left="5171" w:hanging="180"/>
      </w:pPr>
    </w:lvl>
    <w:lvl w:ilvl="6" w:tplc="69B6FA26">
      <w:start w:val="1"/>
      <w:numFmt w:val="decimal"/>
      <w:lvlText w:val="%7."/>
      <w:lvlJc w:val="left"/>
      <w:pPr>
        <w:ind w:left="5891" w:hanging="360"/>
      </w:pPr>
    </w:lvl>
    <w:lvl w:ilvl="7" w:tplc="0BFAF98C">
      <w:start w:val="1"/>
      <w:numFmt w:val="lowerLetter"/>
      <w:lvlText w:val="%8."/>
      <w:lvlJc w:val="left"/>
      <w:pPr>
        <w:ind w:left="6611" w:hanging="360"/>
      </w:pPr>
    </w:lvl>
    <w:lvl w:ilvl="8" w:tplc="FF027BC2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25"/>
    <w:rsid w:val="006A36BF"/>
    <w:rsid w:val="00732025"/>
    <w:rsid w:val="008E714E"/>
    <w:rsid w:val="00C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 w:after="240"/>
      <w:jc w:val="both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Pr>
      <w:sz w:val="22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</w:rPr>
  </w:style>
  <w:style w:type="paragraph" w:customStyle="1" w:styleId="Standard">
    <w:name w:val="Standard"/>
    <w:pPr>
      <w:widowControl w:val="0"/>
    </w:pPr>
    <w:rPr>
      <w:rFonts w:ascii="Times New Roman" w:hAnsi="Times New Roman" w:cs="Tahoma"/>
      <w:color w:val="auto"/>
      <w:szCs w:val="24"/>
      <w:lang w:val="de-DE" w:eastAsia="ja-JP" w:bidi="fa-IR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rPr>
      <w:rFonts w:ascii="Times New Roman" w:eastAsiaTheme="minorHAnsi" w:hAnsi="Times New Roman"/>
      <w:szCs w:val="24"/>
      <w:lang w:eastAsia="en-US"/>
    </w:rPr>
  </w:style>
  <w:style w:type="paragraph" w:styleId="aff0">
    <w:name w:val="footnote text"/>
    <w:basedOn w:val="a"/>
    <w:link w:val="aff1"/>
    <w:uiPriority w:val="99"/>
    <w:semiHidden/>
    <w:unhideWhenUsed/>
    <w:pPr>
      <w:spacing w:before="0" w:after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styleId="25">
    <w:name w:val="List Continue 2"/>
    <w:basedOn w:val="a"/>
    <w:link w:val="26"/>
    <w:uiPriority w:val="99"/>
    <w:pPr>
      <w:spacing w:before="0" w:after="12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 w:after="240"/>
      <w:jc w:val="both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Pr>
      <w:sz w:val="22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</w:rPr>
  </w:style>
  <w:style w:type="paragraph" w:customStyle="1" w:styleId="Standard">
    <w:name w:val="Standard"/>
    <w:pPr>
      <w:widowControl w:val="0"/>
    </w:pPr>
    <w:rPr>
      <w:rFonts w:ascii="Times New Roman" w:hAnsi="Times New Roman" w:cs="Tahoma"/>
      <w:color w:val="auto"/>
      <w:szCs w:val="24"/>
      <w:lang w:val="de-DE" w:eastAsia="ja-JP" w:bidi="fa-IR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rPr>
      <w:rFonts w:ascii="Times New Roman" w:eastAsiaTheme="minorHAnsi" w:hAnsi="Times New Roman"/>
      <w:szCs w:val="24"/>
      <w:lang w:eastAsia="en-US"/>
    </w:rPr>
  </w:style>
  <w:style w:type="paragraph" w:styleId="aff0">
    <w:name w:val="footnote text"/>
    <w:basedOn w:val="a"/>
    <w:link w:val="aff1"/>
    <w:uiPriority w:val="99"/>
    <w:semiHidden/>
    <w:unhideWhenUsed/>
    <w:pPr>
      <w:spacing w:before="0" w:after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styleId="25">
    <w:name w:val="List Continue 2"/>
    <w:basedOn w:val="a"/>
    <w:link w:val="26"/>
    <w:uiPriority w:val="99"/>
    <w:pPr>
      <w:spacing w:before="0" w:after="12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prom.ru/investors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D81F-509D-443F-AF5A-25B46A74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Худякова Эльвира Васильевна</dc:creator>
  <cp:lastModifiedBy>Акентьева Лариса Руслановна</cp:lastModifiedBy>
  <cp:revision>3</cp:revision>
  <dcterms:created xsi:type="dcterms:W3CDTF">2024-11-01T12:43:00Z</dcterms:created>
  <dcterms:modified xsi:type="dcterms:W3CDTF">2025-07-30T10:47:00Z</dcterms:modified>
</cp:coreProperties>
</file>